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5DBEA1D">
      <w:pPr>
        <w:pStyle w:val="2"/>
        <w:bidi w:val="0"/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采购信息提取操作流程</w:t>
      </w:r>
    </w:p>
    <w:p w14:paraId="71AF3F34">
      <w:pPr>
        <w:spacing w:line="360" w:lineRule="auto"/>
        <w:ind w:firstLine="480" w:firstLineChars="200"/>
        <w:rPr>
          <w:rFonts w:hint="eastAsia" w:eastAsiaTheme="minorEastAsia"/>
          <w:lang w:eastAsia="zh-CN"/>
        </w:rPr>
      </w:pPr>
      <w:r>
        <w:rPr>
          <w:rFonts w:hint="eastAsia" w:ascii="宋体" w:hAnsi="宋体"/>
          <w:sz w:val="24"/>
        </w:rPr>
        <w:t>操作菜单为：首页“</w:t>
      </w:r>
      <w:r>
        <w:rPr>
          <w:rFonts w:hint="eastAsia" w:ascii="宋体" w:hAnsi="宋体"/>
          <w:sz w:val="24"/>
          <w:lang w:val="en-US" w:eastAsia="zh-CN"/>
        </w:rPr>
        <w:t>资产登记</w:t>
      </w:r>
      <w:r>
        <w:rPr>
          <w:rFonts w:hint="eastAsia" w:ascii="宋体" w:hAnsi="宋体"/>
          <w:sz w:val="24"/>
        </w:rPr>
        <w:t>”快捷菜单或左侧“</w:t>
      </w:r>
      <w:r>
        <w:rPr>
          <w:rFonts w:hint="eastAsia" w:ascii="宋体" w:hAnsi="宋体"/>
          <w:sz w:val="24"/>
          <w:lang w:val="en-US" w:eastAsia="zh-CN"/>
        </w:rPr>
        <w:t>资产入账</w:t>
      </w:r>
      <w:r>
        <w:rPr>
          <w:rFonts w:hint="eastAsia" w:ascii="宋体" w:hAnsi="宋体"/>
          <w:sz w:val="24"/>
        </w:rPr>
        <w:t>→</w:t>
      </w:r>
      <w:r>
        <w:rPr>
          <w:rFonts w:hint="eastAsia" w:ascii="宋体" w:hAnsi="宋体"/>
          <w:sz w:val="24"/>
          <w:lang w:val="en-US" w:eastAsia="zh-CN"/>
        </w:rPr>
        <w:t>资产登记</w:t>
      </w:r>
      <w:r>
        <w:rPr>
          <w:rFonts w:hint="eastAsia" w:ascii="宋体" w:hAnsi="宋体"/>
          <w:sz w:val="24"/>
        </w:rPr>
        <w:t>→</w:t>
      </w:r>
      <w:r>
        <w:rPr>
          <w:rFonts w:hint="eastAsia" w:ascii="宋体" w:hAnsi="宋体"/>
          <w:sz w:val="24"/>
          <w:lang w:val="en-US" w:eastAsia="zh-CN"/>
        </w:rPr>
        <w:t>资产登记</w:t>
      </w:r>
      <w:r>
        <w:rPr>
          <w:rFonts w:hint="eastAsia" w:ascii="宋体" w:hAnsi="宋体"/>
          <w:sz w:val="24"/>
        </w:rPr>
        <w:t>”菜单。</w:t>
      </w:r>
      <w:r>
        <w:rPr>
          <w:rFonts w:hint="eastAsia" w:ascii="宋体" w:hAnsi="宋体"/>
          <w:sz w:val="24"/>
          <w:lang w:eastAsia="zh-CN"/>
        </w:rPr>
        <w:t>（</w:t>
      </w:r>
      <w:r>
        <w:rPr>
          <w:rFonts w:hint="eastAsia" w:ascii="宋体" w:hAnsi="宋体"/>
          <w:sz w:val="24"/>
          <w:lang w:val="en-US" w:eastAsia="zh-CN"/>
        </w:rPr>
        <w:t>底部附操作视频</w:t>
      </w:r>
      <w:r>
        <w:rPr>
          <w:rFonts w:hint="eastAsia" w:ascii="宋体" w:hAnsi="宋体"/>
          <w:sz w:val="24"/>
          <w:lang w:eastAsia="zh-CN"/>
        </w:rPr>
        <w:t>）</w:t>
      </w:r>
    </w:p>
    <w:p w14:paraId="21F2C501">
      <w:pPr>
        <w:ind w:firstLine="420" w:firstLineChars="0"/>
        <w:rPr>
          <w:rFonts w:hint="eastAsia"/>
          <w:lang w:val="en-US" w:eastAsia="zh-CN"/>
        </w:rPr>
      </w:pPr>
    </w:p>
    <w:p w14:paraId="0D3F6D03">
      <w:r>
        <w:drawing>
          <wp:inline distT="0" distB="0" distL="114300" distR="114300">
            <wp:extent cx="5256530" cy="2350135"/>
            <wp:effectExtent l="0" t="0" r="1270" b="12065"/>
            <wp:docPr id="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2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56530" cy="2350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D62C8A">
      <w:pPr>
        <w:spacing w:line="360" w:lineRule="auto"/>
        <w:ind w:firstLine="480" w:firstLineChars="200"/>
        <w:rPr>
          <w:rFonts w:hint="eastAsia" w:ascii="宋体" w:hAnsi="宋体"/>
          <w:sz w:val="24"/>
          <w:lang w:val="en-US" w:eastAsia="zh-CN"/>
        </w:rPr>
      </w:pPr>
      <w:r>
        <w:rPr>
          <w:rFonts w:hint="eastAsia" w:ascii="宋体" w:hAnsi="宋体"/>
          <w:sz w:val="24"/>
          <w:lang w:val="en-US" w:eastAsia="zh-CN"/>
        </w:rPr>
        <w:t>1、进入菜单后选择“资产登记管理”</w:t>
      </w:r>
    </w:p>
    <w:p w14:paraId="6F7A02BA">
      <w:pPr>
        <w:numPr>
          <w:ilvl w:val="0"/>
          <w:numId w:val="0"/>
        </w:numPr>
        <w:rPr>
          <w:rFonts w:hint="default"/>
          <w:lang w:val="en-US" w:eastAsia="zh-CN"/>
        </w:rPr>
      </w:pPr>
    </w:p>
    <w:p w14:paraId="1F04D5FA">
      <w:pPr>
        <w:rPr>
          <w:rFonts w:hint="eastAsia"/>
          <w:lang w:eastAsia="zh-CN"/>
        </w:rPr>
      </w:pPr>
      <w:r>
        <w:drawing>
          <wp:inline distT="0" distB="0" distL="114300" distR="114300">
            <wp:extent cx="5262245" cy="2361565"/>
            <wp:effectExtent l="0" t="0" r="14605" b="635"/>
            <wp:docPr id="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3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2361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FB48D9">
      <w:pPr>
        <w:ind w:firstLine="420" w:firstLineChars="0"/>
        <w:rPr>
          <w:rFonts w:hint="eastAsia" w:eastAsiaTheme="minorEastAsia"/>
          <w:lang w:eastAsia="zh-CN"/>
        </w:rPr>
      </w:pPr>
    </w:p>
    <w:p w14:paraId="69E7B8FD">
      <w:pPr>
        <w:ind w:firstLine="420" w:firstLineChars="0"/>
        <w:rPr>
          <w:rFonts w:hint="eastAsia" w:eastAsiaTheme="minorEastAsia"/>
          <w:lang w:eastAsia="zh-CN"/>
        </w:rPr>
      </w:pPr>
    </w:p>
    <w:p w14:paraId="493ABB3A">
      <w:pPr>
        <w:ind w:firstLine="420" w:firstLineChars="0"/>
        <w:rPr>
          <w:rFonts w:hint="eastAsia" w:eastAsiaTheme="minorEastAsia"/>
          <w:lang w:eastAsia="zh-CN"/>
        </w:rPr>
      </w:pPr>
    </w:p>
    <w:p w14:paraId="2B45E9DC">
      <w:pPr>
        <w:ind w:firstLine="420" w:firstLineChars="0"/>
        <w:rPr>
          <w:rFonts w:hint="eastAsia" w:eastAsiaTheme="minorEastAsia"/>
          <w:lang w:eastAsia="zh-CN"/>
        </w:rPr>
      </w:pPr>
    </w:p>
    <w:p w14:paraId="5A36FDBB">
      <w:pPr>
        <w:ind w:firstLine="420" w:firstLineChars="0"/>
        <w:rPr>
          <w:rFonts w:hint="eastAsia" w:eastAsiaTheme="minorEastAsia"/>
          <w:lang w:eastAsia="zh-CN"/>
        </w:rPr>
      </w:pPr>
    </w:p>
    <w:p w14:paraId="752E25B4">
      <w:pPr>
        <w:ind w:firstLine="420" w:firstLineChars="0"/>
        <w:rPr>
          <w:rFonts w:hint="eastAsia" w:eastAsiaTheme="minorEastAsia"/>
          <w:lang w:eastAsia="zh-CN"/>
        </w:rPr>
      </w:pPr>
    </w:p>
    <w:p w14:paraId="60E9AAE0">
      <w:pPr>
        <w:spacing w:line="360" w:lineRule="auto"/>
        <w:ind w:firstLine="480" w:firstLineChars="200"/>
        <w:rPr>
          <w:rFonts w:hint="eastAsia" w:ascii="宋体" w:hAnsi="宋体"/>
          <w:sz w:val="24"/>
          <w:lang w:val="en-US" w:eastAsia="zh-CN"/>
        </w:rPr>
      </w:pPr>
    </w:p>
    <w:p w14:paraId="6313EF6C">
      <w:pPr>
        <w:spacing w:line="360" w:lineRule="auto"/>
        <w:ind w:firstLine="480" w:firstLineChars="200"/>
        <w:rPr>
          <w:rFonts w:hint="eastAsia" w:ascii="宋体" w:hAnsi="宋体"/>
          <w:sz w:val="24"/>
          <w:lang w:val="en-US" w:eastAsia="zh-CN"/>
        </w:rPr>
      </w:pPr>
    </w:p>
    <w:p w14:paraId="0B5F39B0">
      <w:pPr>
        <w:spacing w:line="360" w:lineRule="auto"/>
        <w:ind w:firstLine="480" w:firstLineChars="200"/>
        <w:rPr>
          <w:rFonts w:hint="eastAsia" w:ascii="宋体" w:hAnsi="宋体"/>
          <w:sz w:val="24"/>
          <w:lang w:val="en-US" w:eastAsia="zh-CN"/>
        </w:rPr>
      </w:pPr>
      <w:r>
        <w:rPr>
          <w:rFonts w:hint="eastAsia" w:ascii="宋体" w:hAnsi="宋体"/>
          <w:sz w:val="24"/>
          <w:lang w:val="en-US" w:eastAsia="zh-CN"/>
        </w:rPr>
        <w:t>2、在资产登记页面点击“对接数据提取”按钮即可查看采购信息</w:t>
      </w:r>
    </w:p>
    <w:p w14:paraId="7A74CF05">
      <w:pPr>
        <w:numPr>
          <w:ilvl w:val="0"/>
          <w:numId w:val="0"/>
        </w:numPr>
        <w:rPr>
          <w:rFonts w:hint="default"/>
          <w:lang w:val="en-US" w:eastAsia="zh-CN"/>
        </w:rPr>
      </w:pPr>
    </w:p>
    <w:p w14:paraId="16B7D6F3">
      <w:r>
        <w:drawing>
          <wp:inline distT="0" distB="0" distL="114300" distR="114300">
            <wp:extent cx="5262245" cy="2361565"/>
            <wp:effectExtent l="0" t="0" r="14605" b="635"/>
            <wp:docPr id="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4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2361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E3CAC7"/>
    <w:p w14:paraId="7CE137AE"/>
    <w:p w14:paraId="52D88CAF">
      <w:pPr>
        <w:spacing w:line="360" w:lineRule="auto"/>
        <w:ind w:firstLine="480" w:firstLineChars="200"/>
        <w:rPr>
          <w:rFonts w:hint="default" w:ascii="宋体" w:hAnsi="宋体"/>
          <w:sz w:val="24"/>
          <w:lang w:val="en-US" w:eastAsia="zh-CN"/>
        </w:rPr>
      </w:pPr>
      <w:r>
        <w:rPr>
          <w:rFonts w:hint="eastAsia" w:ascii="宋体" w:hAnsi="宋体"/>
          <w:sz w:val="24"/>
          <w:lang w:val="en-US" w:eastAsia="zh-CN"/>
        </w:rPr>
        <w:t>3、在“对接数据提取”中可按不同条件查询到想要提取的采购信息，点击左侧提取按钮即可将采购信息提取至登记页面(点击</w:t>
      </w:r>
      <w:r>
        <w:drawing>
          <wp:inline distT="0" distB="0" distL="114300" distR="114300">
            <wp:extent cx="361950" cy="161925"/>
            <wp:effectExtent l="0" t="0" r="0" b="9525"/>
            <wp:docPr id="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/>
          <w:sz w:val="24"/>
          <w:lang w:val="en-US" w:eastAsia="zh-CN"/>
        </w:rPr>
        <w:t>可预览附件)</w:t>
      </w:r>
    </w:p>
    <w:p w14:paraId="6D7F94B9">
      <w:pPr>
        <w:spacing w:line="360" w:lineRule="auto"/>
        <w:ind w:firstLine="480" w:firstLineChars="200"/>
        <w:rPr>
          <w:rFonts w:hint="default" w:ascii="宋体" w:hAnsi="宋体"/>
          <w:sz w:val="24"/>
          <w:lang w:val="en-US" w:eastAsia="zh-CN"/>
        </w:rPr>
      </w:pPr>
    </w:p>
    <w:p w14:paraId="510FB0F8">
      <w:r>
        <w:drawing>
          <wp:inline distT="0" distB="0" distL="114300" distR="114300">
            <wp:extent cx="5272405" cy="2433320"/>
            <wp:effectExtent l="0" t="0" r="4445" b="5080"/>
            <wp:docPr id="9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433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9F66EE">
      <w:r>
        <w:drawing>
          <wp:inline distT="0" distB="0" distL="114300" distR="114300">
            <wp:extent cx="5260975" cy="2383155"/>
            <wp:effectExtent l="0" t="0" r="15875" b="17145"/>
            <wp:docPr id="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383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35BAD2">
      <w:r>
        <w:drawing>
          <wp:inline distT="0" distB="0" distL="114300" distR="114300">
            <wp:extent cx="5266055" cy="2302510"/>
            <wp:effectExtent l="0" t="0" r="10795" b="2540"/>
            <wp:docPr id="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30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EB077D">
      <w:p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可提取的附件：合同文件、采购文件、验收文件</w:t>
      </w:r>
    </w:p>
    <w:p w14:paraId="054B70D6">
      <w:pPr>
        <w:jc w:val="center"/>
        <w:rPr>
          <w:rFonts w:hint="eastAsia"/>
          <w:lang w:eastAsia="zh-CN"/>
        </w:rPr>
      </w:pPr>
      <w:r>
        <w:rPr>
          <w:rFonts w:hint="eastAsia"/>
          <w:lang w:eastAsia="zh-CN"/>
        </w:rPr>
        <w:t>（</w:t>
      </w:r>
      <w:r>
        <w:rPr>
          <w:rFonts w:hint="eastAsia"/>
          <w:lang w:val="en-US" w:eastAsia="zh-CN"/>
        </w:rPr>
        <w:t>可提取到的信息</w:t>
      </w:r>
      <w:r>
        <w:rPr>
          <w:rFonts w:hint="eastAsia"/>
          <w:lang w:eastAsia="zh-CN"/>
        </w:rPr>
        <w:t>）</w:t>
      </w:r>
    </w:p>
    <w:p w14:paraId="473A54CE">
      <w:pPr>
        <w:jc w:val="both"/>
        <w:rPr>
          <w:rFonts w:hint="eastAsia"/>
          <w:lang w:val="en-US" w:eastAsia="zh-CN"/>
        </w:rPr>
      </w:pPr>
    </w:p>
    <w:p w14:paraId="7F2CA716">
      <w:pPr>
        <w:jc w:val="center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*操作视频</w:t>
      </w:r>
    </w:p>
    <w:p w14:paraId="67E0764B">
      <w:pPr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object>
          <v:shape id="_x0000_i1026" o:spt="75" type="#_x0000_t75" style="height:42.75pt;width:169.5pt;" o:ole="t" filled="f" o:preferrelative="t" stroked="f" coordsize="21600,21600">
            <v:fill on="f" focussize="0,0"/>
            <v:stroke on="f"/>
            <v:imagedata r:id="rId12" o:title=""/>
            <o:lock v:ext="edit" aspectratio="t"/>
            <w10:wrap type="none"/>
            <w10:anchorlock/>
          </v:shape>
          <o:OLEObject Type="Embed" ProgID="Package" ShapeID="_x0000_i1026" DrawAspect="Content" ObjectID="_1468075725" r:id="rId11">
            <o:LockedField>false</o:LockedField>
          </o:OLEObject>
        </w:object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TAyYzUzZDE0ZDUwNGJlOWU3MDAxYWU1YjMzZGM5NDgifQ=="/>
  </w:docVars>
  <w:rsids>
    <w:rsidRoot w:val="77B32B9B"/>
    <w:rsid w:val="08B32FD5"/>
    <w:rsid w:val="15DC6219"/>
    <w:rsid w:val="18BA405A"/>
    <w:rsid w:val="323B49D4"/>
    <w:rsid w:val="41BB344C"/>
    <w:rsid w:val="4E7074C0"/>
    <w:rsid w:val="5E2C27BF"/>
    <w:rsid w:val="63505631"/>
    <w:rsid w:val="77B32B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mc:AlternateContent>
    <mc:Choice Requires="wpsCustomData">
      <wpsCustomData:typoFeatureVersion val="0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character" w:default="1" w:styleId="4">
    <w:name w:val="Default Paragraph Font"/>
    <w:semiHidden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image" Target="media/image8.emf"/><Relationship Id="rId11" Type="http://schemas.openxmlformats.org/officeDocument/2006/relationships/oleObject" Target="embeddings/oleObject1.bin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202</Words>
  <Characters>202</Characters>
  <Lines>0</Lines>
  <Paragraphs>0</Paragraphs>
  <TotalTime>112</TotalTime>
  <ScaleCrop>false</ScaleCrop>
  <LinksUpToDate>false</LinksUpToDate>
  <CharactersWithSpaces>202</CharactersWithSpaces>
  <Application>WPS Office_12.1.0.26895_F1E327BC-269C-435d-A152-05C5408002CA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2026-04-10T00:36:00Z</dcterms:created>
  <dc:creator>滚筒洗衣机</dc:creator>
  <cp:lastModifiedBy>滚筒洗衣机</cp:lastModifiedBy>
  <dcterms:modified xsi:type="dcterms:W3CDTF">2026-06-07T20:48:00Z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2052-12.1.0.26895</vt:lpwstr>
  </property>
  <property fmtid="{D5CDD505-2E9C-101B-9397-08002B2CF9AE}" pid="3" name="ICV">
    <vt:lpwstr>A9C1B3B8C6DB46D898ECD3C04833DEDF_13</vt:lpwstr>
  </property>
  <property fmtid="{D5CDD505-2E9C-101B-9397-08002B2CF9AE}" pid="4" name="KSOTemplateDocerSaveRecord">
    <vt:lpwstr>eyJoZGlkIjoiMGQ0NjJiOWJiMWE1YTg1Y2Q1OWU5YTAxZDMwNzBiY2MiLCJ1c2VySWQiOiIxNTMxNzQyMTYxIn0=</vt:lpwstr>
  </property>
</Properties>
</file>