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numPr>
          <w:ilvl w:val="0"/>
          <w:numId w:val="1"/>
        </w:numPr>
        <w:jc w:val="center"/>
        <w:rPr>
          <w:rFonts w:hint="eastAsia"/>
          <w:b/>
          <w:bCs/>
          <w:sz w:val="28"/>
          <w:szCs w:val="28"/>
        </w:rPr>
      </w:pPr>
      <w:r>
        <w:rPr>
          <w:rFonts w:hint="eastAsia"/>
          <w:b/>
          <w:bCs/>
          <w:sz w:val="28"/>
          <w:szCs w:val="28"/>
        </w:rPr>
        <w:t>非零星采购业务报销汇总单（汇总审核申请表）业务流程</w:t>
      </w:r>
    </w:p>
    <w:p>
      <w:pPr>
        <w:numPr>
          <w:numId w:val="0"/>
        </w:numPr>
        <w:ind w:left="2520" w:leftChars="0" w:firstLine="420" w:firstLineChars="0"/>
        <w:jc w:val="left"/>
        <w:rPr>
          <w:rFonts w:hint="default" w:eastAsiaTheme="minor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*底部附操作视频</w:t>
      </w:r>
    </w:p>
    <w:p>
      <w:pPr>
        <w:pStyle w:val="2"/>
        <w:numPr>
          <w:ilvl w:val="0"/>
          <w:numId w:val="0"/>
        </w:numPr>
        <w:spacing w:before="100" w:after="100" w:line="360" w:lineRule="auto"/>
        <w:jc w:val="both"/>
        <w:rPr>
          <w:rFonts w:hint="eastAsia" w:ascii="宋体" w:hAnsi="宋体" w:eastAsia="宋体" w:cs="宋体"/>
          <w:b/>
          <w:sz w:val="28"/>
          <w:szCs w:val="28"/>
          <w:lang w:val="en-US" w:eastAsia="zh-CN"/>
        </w:rPr>
      </w:pPr>
      <w:bookmarkStart w:id="0" w:name="_Toc22461"/>
      <w:bookmarkStart w:id="1" w:name="_Toc11774"/>
      <w:r>
        <w:rPr>
          <w:rFonts w:hint="eastAsia" w:ascii="宋体" w:hAnsi="宋体" w:eastAsia="宋体" w:cs="宋体"/>
          <w:b/>
          <w:sz w:val="28"/>
          <w:szCs w:val="28"/>
          <w:lang w:val="en-US" w:eastAsia="zh-CN"/>
        </w:rPr>
        <w:t>一、资产登记：</w:t>
      </w:r>
      <w:bookmarkEnd w:id="0"/>
      <w:bookmarkEnd w:id="1"/>
    </w:p>
    <w:p>
      <w:pPr>
        <w:numPr>
          <w:ilvl w:val="0"/>
          <w:numId w:val="0"/>
        </w:numPr>
        <w:spacing w:line="360" w:lineRule="auto"/>
        <w:ind w:firstLine="420" w:firstLineChars="200"/>
        <w:rPr>
          <w:rFonts w:hint="eastAsia"/>
          <w:lang w:eastAsia="zh-CN"/>
        </w:rPr>
      </w:pPr>
      <w:r>
        <w:rPr>
          <w:rFonts w:hint="eastAsia" w:ascii="Calibri" w:hAnsi="Calibri" w:eastAsia="宋体" w:cs="Times New Roman"/>
          <w:kern w:val="2"/>
          <w:sz w:val="21"/>
          <w:szCs w:val="24"/>
          <w:lang w:val="en-US" w:eastAsia="zh-CN" w:bidi="ar-SA"/>
        </w:rPr>
        <w:t>（一）</w:t>
      </w:r>
      <w:r>
        <w:rPr>
          <w:rFonts w:hint="eastAsia"/>
          <w:lang w:eastAsia="zh-CN"/>
        </w:rPr>
        <w:t>固定资产：</w:t>
      </w:r>
    </w:p>
    <w:p>
      <w:pPr>
        <w:numPr>
          <w:ilvl w:val="0"/>
          <w:numId w:val="0"/>
        </w:numPr>
        <w:spacing w:line="360" w:lineRule="auto"/>
        <w:ind w:firstLine="630" w:firstLineChars="300"/>
        <w:rPr>
          <w:rFonts w:hint="eastAsia"/>
          <w:color w:val="auto"/>
          <w:lang w:eastAsia="zh-CN"/>
        </w:rPr>
      </w:pPr>
      <w:r>
        <w:rPr>
          <w:rFonts w:hint="eastAsia"/>
          <w:lang w:val="en-US" w:eastAsia="zh-CN"/>
        </w:rPr>
        <w:t>1.</w:t>
      </w:r>
      <w:r>
        <w:rPr>
          <w:rFonts w:hint="eastAsia"/>
          <w:lang w:eastAsia="zh-CN"/>
        </w:rPr>
        <w:t>按合同</w:t>
      </w:r>
      <w:r>
        <w:rPr>
          <w:rFonts w:hint="eastAsia"/>
          <w:color w:val="auto"/>
          <w:lang w:val="en-US" w:eastAsia="zh-CN"/>
        </w:rPr>
        <w:t>资产</w:t>
      </w:r>
      <w:r>
        <w:rPr>
          <w:rFonts w:hint="eastAsia"/>
          <w:lang w:eastAsia="zh-CN"/>
        </w:rPr>
        <w:t>清单逐笔登记资产，登记时务必如实填写</w:t>
      </w:r>
      <w:r>
        <w:rPr>
          <w:rFonts w:hint="eastAsia"/>
          <w:color w:val="auto"/>
          <w:lang w:eastAsia="zh-CN"/>
        </w:rPr>
        <w:t>合同（采购）编号。</w:t>
      </w:r>
    </w:p>
    <w:p>
      <w:pPr>
        <w:numPr>
          <w:ilvl w:val="0"/>
          <w:numId w:val="0"/>
        </w:numPr>
        <w:spacing w:line="360" w:lineRule="auto"/>
        <w:ind w:firstLine="630" w:firstLineChars="300"/>
        <w:rPr>
          <w:rFonts w:hint="eastAsia"/>
          <w:color w:val="auto"/>
          <w:lang w:eastAsia="zh-CN"/>
        </w:rPr>
      </w:pPr>
      <w:r>
        <w:rPr>
          <w:rFonts w:hint="eastAsia"/>
          <w:color w:val="auto"/>
          <w:lang w:val="en-US" w:eastAsia="zh-CN"/>
        </w:rPr>
        <w:t>2.合并单据：区分资产类别（如设备、家具、无形资产等）按</w:t>
      </w:r>
      <w:r>
        <w:rPr>
          <w:rFonts w:hint="eastAsia"/>
          <w:color w:val="auto"/>
          <w:lang w:eastAsia="zh-CN"/>
        </w:rPr>
        <w:t>合同（采购）编号合并资产登记单据。</w:t>
      </w:r>
    </w:p>
    <w:p>
      <w:pPr>
        <w:numPr>
          <w:ilvl w:val="0"/>
          <w:numId w:val="0"/>
        </w:numPr>
        <w:spacing w:line="360" w:lineRule="auto"/>
        <w:ind w:firstLine="630" w:firstLineChars="300"/>
        <w:rPr>
          <w:rFonts w:hint="default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3.提交资产登记单据。</w:t>
      </w:r>
    </w:p>
    <w:p>
      <w:pPr>
        <w:numPr>
          <w:ilvl w:val="0"/>
          <w:numId w:val="0"/>
        </w:numPr>
        <w:spacing w:line="360" w:lineRule="auto"/>
        <w:ind w:firstLine="420" w:firstLineChars="200"/>
        <w:rPr>
          <w:rFonts w:hint="eastAsia" w:ascii="Calibri" w:hAnsi="Calibri" w:eastAsia="宋体" w:cs="Times New Roman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Calibri" w:hAnsi="Calibri" w:eastAsia="宋体" w:cs="Times New Roman"/>
          <w:color w:val="auto"/>
          <w:kern w:val="2"/>
          <w:sz w:val="21"/>
          <w:szCs w:val="24"/>
          <w:lang w:val="en-US" w:eastAsia="zh-CN" w:bidi="ar-SA"/>
        </w:rPr>
        <w:t>（二）低值品：</w:t>
      </w:r>
    </w:p>
    <w:p>
      <w:pPr>
        <w:numPr>
          <w:ilvl w:val="0"/>
          <w:numId w:val="0"/>
        </w:numPr>
        <w:spacing w:line="360" w:lineRule="auto"/>
        <w:ind w:firstLine="630" w:firstLineChars="300"/>
        <w:rPr>
          <w:rFonts w:hint="eastAsia"/>
          <w:color w:val="auto"/>
          <w:lang w:eastAsia="zh-CN"/>
        </w:rPr>
      </w:pPr>
      <w:r>
        <w:rPr>
          <w:rFonts w:hint="eastAsia"/>
          <w:color w:val="auto"/>
          <w:lang w:val="en-US" w:eastAsia="zh-CN"/>
        </w:rPr>
        <w:t>1.</w:t>
      </w:r>
      <w:r>
        <w:rPr>
          <w:rFonts w:hint="eastAsia"/>
          <w:color w:val="auto"/>
          <w:lang w:eastAsia="zh-CN"/>
        </w:rPr>
        <w:t>按合同清单逐笔登记资产，登记时务必如实填写合同（采购）编号。</w:t>
      </w:r>
    </w:p>
    <w:p>
      <w:pPr>
        <w:numPr>
          <w:ilvl w:val="0"/>
          <w:numId w:val="0"/>
        </w:numPr>
        <w:spacing w:line="360" w:lineRule="auto"/>
        <w:ind w:firstLine="630" w:firstLineChars="300"/>
        <w:rPr>
          <w:rFonts w:hint="eastAsia"/>
          <w:color w:val="auto"/>
          <w:lang w:eastAsia="zh-CN"/>
        </w:rPr>
      </w:pPr>
      <w:r>
        <w:rPr>
          <w:rFonts w:hint="eastAsia"/>
          <w:color w:val="auto"/>
          <w:lang w:val="en-US" w:eastAsia="zh-CN"/>
        </w:rPr>
        <w:t>2.合并单据：按</w:t>
      </w:r>
      <w:r>
        <w:rPr>
          <w:rFonts w:hint="eastAsia"/>
          <w:color w:val="auto"/>
          <w:lang w:eastAsia="zh-CN"/>
        </w:rPr>
        <w:t>合同（采购）编号合并资产登记单据。</w:t>
      </w:r>
    </w:p>
    <w:p>
      <w:pPr>
        <w:numPr>
          <w:ilvl w:val="0"/>
          <w:numId w:val="0"/>
        </w:numPr>
        <w:spacing w:line="360" w:lineRule="auto"/>
        <w:ind w:firstLine="630" w:firstLineChars="300"/>
        <w:rPr>
          <w:rFonts w:hint="eastAsia" w:ascii="宋体" w:hAnsi="宋体" w:eastAsia="宋体" w:cs="宋体"/>
          <w:b/>
          <w:sz w:val="28"/>
          <w:szCs w:val="28"/>
          <w:lang w:val="en-US" w:eastAsia="zh-CN"/>
        </w:rPr>
      </w:pPr>
      <w:r>
        <w:rPr>
          <w:rFonts w:hint="eastAsia"/>
          <w:lang w:val="en-US" w:eastAsia="zh-CN"/>
        </w:rPr>
        <w:t>3.提交资产登记单据。</w:t>
      </w:r>
    </w:p>
    <w:p>
      <w:pPr>
        <w:pStyle w:val="2"/>
        <w:numPr>
          <w:ilvl w:val="0"/>
          <w:numId w:val="0"/>
        </w:numPr>
        <w:spacing w:before="100" w:after="100" w:line="360" w:lineRule="auto"/>
        <w:jc w:val="both"/>
        <w:rPr>
          <w:rFonts w:hint="eastAsia" w:ascii="宋体" w:hAnsi="宋体" w:eastAsia="宋体" w:cs="宋体"/>
          <w:b/>
          <w:sz w:val="28"/>
          <w:szCs w:val="28"/>
          <w:lang w:val="en-US" w:eastAsia="zh-CN"/>
        </w:rPr>
      </w:pPr>
      <w:bookmarkStart w:id="2" w:name="_Toc18971"/>
      <w:bookmarkStart w:id="3" w:name="_Toc9143"/>
      <w:r>
        <w:rPr>
          <w:rFonts w:hint="eastAsia" w:ascii="宋体" w:hAnsi="宋体" w:eastAsia="宋体" w:cs="宋体"/>
          <w:b/>
          <w:sz w:val="28"/>
          <w:szCs w:val="28"/>
          <w:lang w:val="en-US" w:eastAsia="zh-CN"/>
        </w:rPr>
        <w:t>二、导出并上传非零星采购业务报销汇总单（汇总审核申请表）</w:t>
      </w:r>
      <w:bookmarkEnd w:id="2"/>
      <w:bookmarkEnd w:id="3"/>
    </w:p>
    <w:p>
      <w:pPr>
        <w:numPr>
          <w:ilvl w:val="0"/>
          <w:numId w:val="0"/>
        </w:numPr>
        <w:spacing w:line="360" w:lineRule="auto"/>
        <w:rPr>
          <w:rFonts w:hint="eastAsia"/>
          <w:lang w:eastAsia="zh-CN"/>
        </w:rPr>
      </w:pPr>
      <w:r>
        <w:rPr>
          <w:rFonts w:hint="eastAsia"/>
          <w:lang w:eastAsia="zh-CN"/>
        </w:rPr>
        <w:t>按照以下步骤</w:t>
      </w:r>
      <w:r>
        <w:rPr>
          <w:rFonts w:hint="eastAsia"/>
          <w:lang w:val="en-US" w:eastAsia="zh-CN"/>
        </w:rPr>
        <w:t>导</w:t>
      </w:r>
      <w:r>
        <w:rPr>
          <w:rFonts w:hint="eastAsia"/>
          <w:lang w:eastAsia="zh-CN"/>
        </w:rPr>
        <w:t>出非零星采购报销汇总单：</w:t>
      </w:r>
    </w:p>
    <w:p>
      <w:pPr>
        <w:numPr>
          <w:ilvl w:val="0"/>
          <w:numId w:val="0"/>
        </w:numPr>
        <w:spacing w:line="360" w:lineRule="auto"/>
        <w:ind w:firstLine="422" w:firstLineChars="200"/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操作：</w:t>
      </w:r>
      <w:r>
        <w:rPr>
          <w:rFonts w:hint="eastAsia"/>
          <w:lang w:val="en-US" w:eastAsia="zh-CN"/>
        </w:rPr>
        <w:t>点击资产图表打印</w:t>
      </w:r>
      <w:r>
        <w:rPr>
          <w:rFonts w:hint="default" w:ascii="Arial" w:hAnsi="Arial" w:cs="Arial"/>
          <w:lang w:val="en-US" w:eastAsia="zh-CN"/>
        </w:rPr>
        <w:t>→</w:t>
      </w:r>
      <w:r>
        <w:rPr>
          <w:rFonts w:hint="eastAsia" w:ascii="Arial" w:hAnsi="Arial" w:cs="Arial"/>
          <w:lang w:val="en-US" w:eastAsia="zh-CN"/>
        </w:rPr>
        <w:t>点击</w:t>
      </w:r>
      <w:r>
        <w:rPr>
          <w:rFonts w:hint="eastAsia"/>
          <w:lang w:eastAsia="zh-CN"/>
        </w:rPr>
        <w:t>非零星采购报销汇总单</w:t>
      </w:r>
      <w:r>
        <w:rPr>
          <w:rFonts w:hint="default" w:ascii="Arial" w:hAnsi="Arial" w:cs="Arial"/>
          <w:lang w:val="en-US" w:eastAsia="zh-CN"/>
        </w:rPr>
        <w:t>→</w:t>
      </w:r>
      <w:r>
        <w:rPr>
          <w:rFonts w:hint="eastAsia" w:ascii="Arial" w:hAnsi="Arial" w:cs="Arial"/>
          <w:lang w:val="en-US" w:eastAsia="zh-CN"/>
        </w:rPr>
        <w:t>进入查询页面，按照</w:t>
      </w:r>
      <w:r>
        <w:rPr>
          <w:rFonts w:hint="eastAsia"/>
          <w:color w:val="auto"/>
          <w:lang w:eastAsia="zh-CN"/>
        </w:rPr>
        <w:t>合同（采购）编号</w:t>
      </w:r>
      <w:r>
        <w:rPr>
          <w:rFonts w:hint="eastAsia"/>
          <w:lang w:eastAsia="zh-CN"/>
        </w:rPr>
        <w:t>查询汇总单</w:t>
      </w:r>
      <w:r>
        <w:rPr>
          <w:rFonts w:hint="default" w:ascii="Arial" w:hAnsi="Arial" w:cs="Arial"/>
          <w:lang w:val="en-US" w:eastAsia="zh-CN"/>
        </w:rPr>
        <w:t>→</w:t>
      </w:r>
      <w:r>
        <w:rPr>
          <w:rFonts w:hint="eastAsia" w:ascii="Arial" w:hAnsi="Arial" w:cs="Arial"/>
          <w:lang w:val="en-US" w:eastAsia="zh-CN"/>
        </w:rPr>
        <w:t>确认后，点击打印预览（</w:t>
      </w:r>
      <w:r>
        <w:rPr>
          <w:rFonts w:hint="eastAsia" w:ascii="Arial" w:hAnsi="Arial" w:cs="Arial"/>
          <w:highlight w:val="yellow"/>
          <w:lang w:val="en-US" w:eastAsia="zh-CN"/>
        </w:rPr>
        <w:t>图1</w:t>
      </w:r>
      <w:r>
        <w:rPr>
          <w:rFonts w:hint="eastAsia" w:ascii="Arial" w:hAnsi="Arial" w:cs="Arial"/>
          <w:lang w:val="en-US" w:eastAsia="zh-CN"/>
        </w:rPr>
        <w:t>）</w:t>
      </w:r>
      <w:r>
        <w:rPr>
          <w:rFonts w:hint="default" w:ascii="Arial" w:hAnsi="Arial" w:cs="Arial"/>
          <w:lang w:val="en-US" w:eastAsia="zh-CN"/>
        </w:rPr>
        <w:t>→</w:t>
      </w:r>
      <w:r>
        <w:rPr>
          <w:rFonts w:hint="eastAsia" w:ascii="Arial" w:hAnsi="Arial" w:cs="Arial"/>
          <w:lang w:val="en-US" w:eastAsia="zh-CN"/>
        </w:rPr>
        <w:t>按照系统要求填写有关汇总单信息：合同金额、合同名称等（</w:t>
      </w:r>
      <w:r>
        <w:rPr>
          <w:rFonts w:hint="eastAsia" w:ascii="Arial" w:hAnsi="Arial" w:cs="Arial"/>
          <w:highlight w:val="yellow"/>
          <w:lang w:val="en-US" w:eastAsia="zh-CN"/>
        </w:rPr>
        <w:t>图2</w:t>
      </w:r>
      <w:r>
        <w:rPr>
          <w:rFonts w:hint="eastAsia" w:ascii="Arial" w:hAnsi="Arial" w:cs="Arial"/>
          <w:lang w:val="en-US" w:eastAsia="zh-CN"/>
        </w:rPr>
        <w:t>）</w:t>
      </w:r>
      <w:r>
        <w:rPr>
          <w:rFonts w:hint="default" w:ascii="Arial" w:hAnsi="Arial" w:cs="Arial"/>
          <w:lang w:val="en-US" w:eastAsia="zh-CN"/>
        </w:rPr>
        <w:t>→</w:t>
      </w:r>
      <w:r>
        <w:rPr>
          <w:rFonts w:hint="eastAsia" w:ascii="Arial" w:hAnsi="Arial" w:cs="Arial"/>
          <w:lang w:val="en-US" w:eastAsia="zh-CN"/>
        </w:rPr>
        <w:t>导出PDF格式报销汇总单（</w:t>
      </w:r>
      <w:r>
        <w:rPr>
          <w:rFonts w:hint="eastAsia" w:ascii="Arial" w:hAnsi="Arial" w:cs="Arial"/>
          <w:highlight w:val="yellow"/>
          <w:lang w:val="en-US" w:eastAsia="zh-CN"/>
        </w:rPr>
        <w:t>图3</w:t>
      </w:r>
      <w:r>
        <w:rPr>
          <w:rFonts w:hint="eastAsia" w:ascii="Arial" w:hAnsi="Arial" w:cs="Arial"/>
          <w:lang w:val="en-US" w:eastAsia="zh-CN"/>
        </w:rPr>
        <w:t>）</w:t>
      </w:r>
      <w:r>
        <w:rPr>
          <w:rFonts w:hint="default" w:ascii="Arial" w:hAnsi="Arial" w:cs="Arial"/>
          <w:lang w:val="en-US" w:eastAsia="zh-CN"/>
        </w:rPr>
        <w:t>→</w:t>
      </w:r>
      <w:r>
        <w:rPr>
          <w:rFonts w:hint="eastAsia" w:ascii="Arial" w:hAnsi="Arial" w:cs="Arial"/>
          <w:lang w:val="en-US" w:eastAsia="zh-CN"/>
        </w:rPr>
        <w:t>资产修改菜单-已提交或退回数据、选择最小</w:t>
      </w:r>
      <w:r>
        <w:rPr>
          <w:rFonts w:hint="eastAsia" w:ascii="Arial" w:hAnsi="Arial" w:cs="Arial"/>
          <w:b/>
          <w:bCs/>
          <w:color w:val="auto"/>
          <w:highlight w:val="yellow"/>
          <w:lang w:val="en-US" w:eastAsia="zh-CN"/>
        </w:rPr>
        <w:t>固定资产</w:t>
      </w:r>
      <w:r>
        <w:rPr>
          <w:rFonts w:hint="eastAsia" w:ascii="Arial" w:hAnsi="Arial" w:cs="Arial"/>
          <w:lang w:val="en-US" w:eastAsia="zh-CN"/>
        </w:rPr>
        <w:t>汇总审核单据号（</w:t>
      </w:r>
      <w:r>
        <w:rPr>
          <w:rFonts w:hint="eastAsia" w:ascii="Arial" w:hAnsi="Arial" w:cs="Arial"/>
          <w:highlight w:val="yellow"/>
          <w:lang w:val="en-US" w:eastAsia="zh-CN"/>
        </w:rPr>
        <w:t>图4</w:t>
      </w:r>
      <w:r>
        <w:rPr>
          <w:rFonts w:hint="eastAsia" w:ascii="Arial" w:hAnsi="Arial" w:cs="Arial"/>
          <w:lang w:val="en-US" w:eastAsia="zh-CN"/>
        </w:rPr>
        <w:t>）点击单批操作中的修改（</w:t>
      </w:r>
      <w:r>
        <w:rPr>
          <w:rFonts w:hint="eastAsia" w:ascii="Arial" w:hAnsi="Arial" w:cs="Arial"/>
          <w:highlight w:val="yellow"/>
          <w:lang w:val="en-US" w:eastAsia="zh-CN"/>
        </w:rPr>
        <w:t>图5</w:t>
      </w:r>
      <w:r>
        <w:rPr>
          <w:rFonts w:hint="eastAsia" w:ascii="Arial" w:hAnsi="Arial" w:cs="Arial"/>
          <w:lang w:val="en-US" w:eastAsia="zh-CN"/>
        </w:rPr>
        <w:t>）上传至发票图片（报销汇总单）中（</w:t>
      </w:r>
      <w:r>
        <w:rPr>
          <w:rFonts w:hint="eastAsia" w:ascii="Arial" w:hAnsi="Arial" w:cs="Arial"/>
          <w:highlight w:val="yellow"/>
          <w:lang w:val="en-US" w:eastAsia="zh-CN"/>
        </w:rPr>
        <w:t>图6</w:t>
      </w:r>
      <w:r>
        <w:rPr>
          <w:rFonts w:hint="eastAsia" w:ascii="Arial" w:hAnsi="Arial" w:cs="Arial"/>
          <w:lang w:val="en-US" w:eastAsia="zh-CN"/>
        </w:rPr>
        <w:t>）。</w:t>
      </w:r>
    </w:p>
    <w:p>
      <w:pPr>
        <w:numPr>
          <w:ilvl w:val="0"/>
          <w:numId w:val="0"/>
        </w:numPr>
        <w:spacing w:line="360" w:lineRule="auto"/>
        <w:jc w:val="center"/>
        <w:rPr>
          <w:rFonts w:hint="eastAsia"/>
          <w:highlight w:val="yellow"/>
          <w:lang w:val="en-US" w:eastAsia="zh-CN"/>
        </w:rPr>
      </w:pPr>
    </w:p>
    <w:p>
      <w:pPr>
        <w:numPr>
          <w:ilvl w:val="0"/>
          <w:numId w:val="0"/>
        </w:numPr>
        <w:spacing w:line="360" w:lineRule="auto"/>
        <w:jc w:val="center"/>
        <w:rPr>
          <w:rFonts w:hint="eastAsia"/>
          <w:highlight w:val="yellow"/>
          <w:lang w:val="en-US" w:eastAsia="zh-CN"/>
        </w:rPr>
      </w:pPr>
    </w:p>
    <w:p>
      <w:pPr>
        <w:numPr>
          <w:ilvl w:val="0"/>
          <w:numId w:val="0"/>
        </w:numPr>
        <w:spacing w:line="360" w:lineRule="auto"/>
        <w:jc w:val="center"/>
        <w:rPr>
          <w:rFonts w:hint="eastAsia"/>
          <w:highlight w:val="yellow"/>
          <w:lang w:val="en-US" w:eastAsia="zh-CN"/>
        </w:rPr>
      </w:pPr>
    </w:p>
    <w:p>
      <w:pPr>
        <w:numPr>
          <w:ilvl w:val="0"/>
          <w:numId w:val="0"/>
        </w:numPr>
        <w:spacing w:line="360" w:lineRule="auto"/>
        <w:jc w:val="center"/>
        <w:rPr>
          <w:rFonts w:hint="eastAsia"/>
          <w:highlight w:val="yellow"/>
          <w:lang w:val="en-US" w:eastAsia="zh-CN"/>
        </w:rPr>
      </w:pPr>
    </w:p>
    <w:p>
      <w:pPr>
        <w:numPr>
          <w:ilvl w:val="0"/>
          <w:numId w:val="0"/>
        </w:numPr>
        <w:spacing w:line="360" w:lineRule="auto"/>
        <w:jc w:val="center"/>
        <w:rPr>
          <w:rFonts w:hint="eastAsia"/>
          <w:highlight w:val="yellow"/>
          <w:lang w:val="en-US" w:eastAsia="zh-CN"/>
        </w:rPr>
      </w:pPr>
    </w:p>
    <w:p>
      <w:pPr>
        <w:numPr>
          <w:ilvl w:val="0"/>
          <w:numId w:val="0"/>
        </w:numPr>
        <w:spacing w:line="360" w:lineRule="auto"/>
        <w:jc w:val="center"/>
        <w:rPr>
          <w:rFonts w:hint="eastAsia"/>
          <w:highlight w:val="yellow"/>
          <w:lang w:val="en-US" w:eastAsia="zh-CN"/>
        </w:rPr>
      </w:pPr>
    </w:p>
    <w:p>
      <w:pPr>
        <w:numPr>
          <w:ilvl w:val="0"/>
          <w:numId w:val="0"/>
        </w:numPr>
        <w:spacing w:line="360" w:lineRule="auto"/>
        <w:jc w:val="center"/>
        <w:rPr>
          <w:rFonts w:hint="eastAsia"/>
          <w:highlight w:val="yellow"/>
          <w:lang w:val="en-US" w:eastAsia="zh-CN"/>
        </w:rPr>
      </w:pPr>
    </w:p>
    <w:p>
      <w:pPr>
        <w:numPr>
          <w:ilvl w:val="0"/>
          <w:numId w:val="0"/>
        </w:numPr>
        <w:spacing w:line="360" w:lineRule="auto"/>
        <w:jc w:val="center"/>
        <w:rPr>
          <w:rFonts w:hint="eastAsia"/>
          <w:highlight w:val="yellow"/>
          <w:lang w:val="en-US" w:eastAsia="zh-CN"/>
        </w:rPr>
      </w:pPr>
    </w:p>
    <w:p>
      <w:pPr>
        <w:numPr>
          <w:ilvl w:val="0"/>
          <w:numId w:val="0"/>
        </w:numPr>
        <w:spacing w:line="360" w:lineRule="auto"/>
        <w:jc w:val="center"/>
        <w:rPr>
          <w:rFonts w:hint="eastAsia"/>
          <w:highlight w:val="yellow"/>
          <w:lang w:val="en-US" w:eastAsia="zh-CN"/>
        </w:rPr>
      </w:pPr>
    </w:p>
    <w:p>
      <w:pPr>
        <w:numPr>
          <w:ilvl w:val="0"/>
          <w:numId w:val="0"/>
        </w:numPr>
        <w:spacing w:line="360" w:lineRule="auto"/>
        <w:jc w:val="center"/>
        <w:rPr>
          <w:rFonts w:hint="eastAsia"/>
          <w:highlight w:val="yellow"/>
          <w:lang w:val="en-US" w:eastAsia="zh-CN"/>
        </w:rPr>
      </w:pPr>
    </w:p>
    <w:p>
      <w:pPr>
        <w:numPr>
          <w:ilvl w:val="0"/>
          <w:numId w:val="0"/>
        </w:numPr>
        <w:spacing w:line="360" w:lineRule="auto"/>
        <w:jc w:val="center"/>
        <w:rPr>
          <w:rFonts w:hint="eastAsia"/>
          <w:highlight w:val="yellow"/>
          <w:lang w:val="en-US" w:eastAsia="zh-CN"/>
        </w:rPr>
      </w:pPr>
    </w:p>
    <w:p>
      <w:pPr>
        <w:numPr>
          <w:ilvl w:val="0"/>
          <w:numId w:val="0"/>
        </w:numPr>
        <w:spacing w:line="360" w:lineRule="auto"/>
        <w:jc w:val="center"/>
        <w:rPr>
          <w:rFonts w:hint="default"/>
          <w:lang w:val="en-US" w:eastAsia="zh-CN"/>
        </w:rPr>
      </w:pPr>
      <w:r>
        <w:rPr>
          <w:rFonts w:hint="eastAsia"/>
          <w:highlight w:val="yellow"/>
          <w:lang w:val="en-US" w:eastAsia="zh-CN"/>
        </w:rPr>
        <w:t>（图1）</w:t>
      </w:r>
    </w:p>
    <w:p>
      <w:pPr>
        <w:numPr>
          <w:ilvl w:val="0"/>
          <w:numId w:val="0"/>
        </w:numPr>
        <w:spacing w:line="360" w:lineRule="auto"/>
      </w:pPr>
      <w:r>
        <w:drawing>
          <wp:inline distT="0" distB="0" distL="114300" distR="114300">
            <wp:extent cx="6117590" cy="2848610"/>
            <wp:effectExtent l="0" t="0" r="3810" b="8890"/>
            <wp:docPr id="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17590" cy="284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line="360" w:lineRule="auto"/>
      </w:pPr>
    </w:p>
    <w:p>
      <w:pPr>
        <w:numPr>
          <w:ilvl w:val="0"/>
          <w:numId w:val="0"/>
        </w:numPr>
        <w:spacing w:line="360" w:lineRule="auto"/>
      </w:pPr>
    </w:p>
    <w:p>
      <w:pPr>
        <w:numPr>
          <w:ilvl w:val="0"/>
          <w:numId w:val="0"/>
        </w:numPr>
        <w:spacing w:line="360" w:lineRule="auto"/>
        <w:jc w:val="center"/>
      </w:pPr>
      <w:r>
        <w:rPr>
          <w:rFonts w:hint="eastAsia"/>
          <w:highlight w:val="yellow"/>
          <w:lang w:val="en-US" w:eastAsia="zh-CN"/>
        </w:rPr>
        <w:t>（图2）</w:t>
      </w:r>
    </w:p>
    <w:p>
      <w:pPr>
        <w:numPr>
          <w:ilvl w:val="0"/>
          <w:numId w:val="0"/>
        </w:numPr>
        <w:spacing w:line="360" w:lineRule="auto"/>
        <w:jc w:val="center"/>
      </w:pPr>
      <w:r>
        <w:drawing>
          <wp:inline distT="0" distB="0" distL="114300" distR="114300">
            <wp:extent cx="3867150" cy="2933700"/>
            <wp:effectExtent l="0" t="0" r="6350" b="0"/>
            <wp:docPr id="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86715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line="360" w:lineRule="auto"/>
        <w:jc w:val="both"/>
        <w:rPr>
          <w:rFonts w:hint="eastAsia"/>
          <w:highlight w:val="yellow"/>
          <w:lang w:val="en-US" w:eastAsia="zh-CN"/>
        </w:rPr>
      </w:pPr>
    </w:p>
    <w:p>
      <w:pPr>
        <w:numPr>
          <w:ilvl w:val="0"/>
          <w:numId w:val="0"/>
        </w:numPr>
        <w:spacing w:line="360" w:lineRule="auto"/>
        <w:jc w:val="both"/>
        <w:rPr>
          <w:rFonts w:hint="eastAsia"/>
          <w:highlight w:val="yellow"/>
          <w:lang w:val="en-US" w:eastAsia="zh-CN"/>
        </w:rPr>
      </w:pPr>
    </w:p>
    <w:p>
      <w:pPr>
        <w:numPr>
          <w:ilvl w:val="0"/>
          <w:numId w:val="0"/>
        </w:numPr>
        <w:spacing w:line="360" w:lineRule="auto"/>
        <w:jc w:val="center"/>
        <w:rPr>
          <w:rFonts w:hint="eastAsia"/>
          <w:highlight w:val="yellow"/>
          <w:lang w:val="en-US" w:eastAsia="zh-CN"/>
        </w:rPr>
      </w:pPr>
    </w:p>
    <w:p>
      <w:pPr>
        <w:numPr>
          <w:ilvl w:val="0"/>
          <w:numId w:val="0"/>
        </w:numPr>
        <w:spacing w:line="360" w:lineRule="auto"/>
        <w:jc w:val="center"/>
        <w:rPr>
          <w:rFonts w:hint="eastAsia"/>
          <w:highlight w:val="yellow"/>
          <w:lang w:val="en-US" w:eastAsia="zh-CN"/>
        </w:rPr>
      </w:pPr>
    </w:p>
    <w:p>
      <w:pPr>
        <w:numPr>
          <w:ilvl w:val="0"/>
          <w:numId w:val="0"/>
        </w:numPr>
        <w:spacing w:line="360" w:lineRule="auto"/>
        <w:jc w:val="center"/>
        <w:rPr>
          <w:rFonts w:hint="eastAsia"/>
          <w:highlight w:val="yellow"/>
          <w:lang w:val="en-US" w:eastAsia="zh-CN"/>
        </w:rPr>
      </w:pPr>
    </w:p>
    <w:p>
      <w:pPr>
        <w:numPr>
          <w:ilvl w:val="0"/>
          <w:numId w:val="0"/>
        </w:numPr>
        <w:spacing w:line="360" w:lineRule="auto"/>
        <w:jc w:val="center"/>
        <w:rPr>
          <w:rFonts w:hint="eastAsia"/>
          <w:highlight w:val="yellow"/>
          <w:lang w:val="en-US" w:eastAsia="zh-CN"/>
        </w:rPr>
      </w:pPr>
    </w:p>
    <w:p>
      <w:pPr>
        <w:numPr>
          <w:ilvl w:val="0"/>
          <w:numId w:val="0"/>
        </w:numPr>
        <w:spacing w:line="360" w:lineRule="auto"/>
        <w:jc w:val="both"/>
        <w:rPr>
          <w:rFonts w:hint="eastAsia"/>
          <w:highlight w:val="yellow"/>
          <w:lang w:val="en-US" w:eastAsia="zh-CN"/>
        </w:rPr>
      </w:pPr>
    </w:p>
    <w:p>
      <w:pPr>
        <w:numPr>
          <w:ilvl w:val="0"/>
          <w:numId w:val="0"/>
        </w:numPr>
        <w:spacing w:line="360" w:lineRule="auto"/>
        <w:jc w:val="center"/>
      </w:pPr>
      <w:r>
        <w:rPr>
          <w:rFonts w:hint="eastAsia"/>
          <w:highlight w:val="yellow"/>
          <w:lang w:val="en-US" w:eastAsia="zh-CN"/>
        </w:rPr>
        <w:t>（图3）</w:t>
      </w:r>
      <w:r>
        <w:drawing>
          <wp:inline distT="0" distB="0" distL="114300" distR="114300">
            <wp:extent cx="5271135" cy="4339590"/>
            <wp:effectExtent l="0" t="0" r="5715" b="381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433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line="360" w:lineRule="auto"/>
        <w:jc w:val="center"/>
        <w:rPr>
          <w:rFonts w:hint="eastAsia"/>
          <w:highlight w:val="yellow"/>
          <w:lang w:val="en-US" w:eastAsia="zh-CN"/>
        </w:rPr>
      </w:pPr>
      <w:r>
        <w:rPr>
          <w:rFonts w:hint="eastAsia"/>
          <w:highlight w:val="yellow"/>
          <w:lang w:val="en-US" w:eastAsia="zh-CN"/>
        </w:rPr>
        <w:t>（图4）</w:t>
      </w:r>
    </w:p>
    <w:p>
      <w:pPr>
        <w:numPr>
          <w:ilvl w:val="0"/>
          <w:numId w:val="0"/>
        </w:numPr>
        <w:spacing w:line="360" w:lineRule="auto"/>
        <w:jc w:val="center"/>
      </w:pPr>
      <w:r>
        <w:drawing>
          <wp:inline distT="0" distB="0" distL="114300" distR="114300">
            <wp:extent cx="5268595" cy="3364865"/>
            <wp:effectExtent l="0" t="0" r="8255" b="6985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6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line="360" w:lineRule="auto"/>
        <w:jc w:val="center"/>
        <w:rPr>
          <w:rFonts w:hint="eastAsia"/>
          <w:highlight w:val="yellow"/>
          <w:lang w:val="en-US" w:eastAsia="zh-CN"/>
        </w:rPr>
      </w:pPr>
      <w:r>
        <w:rPr>
          <w:rFonts w:hint="eastAsia"/>
          <w:highlight w:val="yellow"/>
          <w:lang w:val="en-US" w:eastAsia="zh-CN"/>
        </w:rPr>
        <w:t>（图5）</w:t>
      </w:r>
      <w:r>
        <w:drawing>
          <wp:inline distT="0" distB="0" distL="114300" distR="114300">
            <wp:extent cx="5266055" cy="2486025"/>
            <wp:effectExtent l="0" t="0" r="10795" b="9525"/>
            <wp:docPr id="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9">
                      <a:lum bright="-6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line="360" w:lineRule="auto"/>
        <w:jc w:val="center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spacing w:line="360" w:lineRule="auto"/>
        <w:jc w:val="center"/>
      </w:pPr>
      <w:r>
        <w:rPr>
          <w:rFonts w:hint="eastAsia"/>
          <w:highlight w:val="yellow"/>
          <w:lang w:val="en-US" w:eastAsia="zh-CN"/>
        </w:rPr>
        <w:t>（图6）</w:t>
      </w:r>
      <w:r>
        <w:drawing>
          <wp:inline distT="0" distB="0" distL="114300" distR="114300">
            <wp:extent cx="5269230" cy="2492375"/>
            <wp:effectExtent l="0" t="0" r="7620" b="3175"/>
            <wp:docPr id="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9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line="360" w:lineRule="auto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*操作视频</w:t>
      </w:r>
    </w:p>
    <w:p>
      <w:pPr>
        <w:numPr>
          <w:ilvl w:val="0"/>
          <w:numId w:val="0"/>
        </w:numPr>
        <w:spacing w:line="360" w:lineRule="auto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object>
          <v:shape id="_x0000_i1025" o:spt="75" type="#_x0000_t75" style="height:66pt;width:72.75pt;" o:ole="t" filled="f" o:preferrelative="t" stroked="f" coordsize="21600,21600">
            <v:fill on="f" focussize="0,0"/>
            <v:stroke on="f"/>
            <v:imagedata r:id="rId12" o:title=""/>
            <o:lock v:ext="edit" aspectratio="t"/>
            <w10:wrap type="none"/>
            <w10:anchorlock/>
          </v:shape>
          <o:OLEObject Type="Embed" ProgID="Package" ShapeID="_x0000_i1025" DrawAspect="Icon" ObjectID="_1468075725" r:id="rId11">
            <o:LockedField>false</o:LockedField>
          </o:OLEObject>
        </w:object>
      </w:r>
      <w:bookmarkStart w:id="4" w:name="_GoBack"/>
      <w:bookmarkEnd w:id="4"/>
    </w:p>
    <w:sectPr>
      <w:footerReference r:id="rId3" w:type="default"/>
      <w:pgSz w:w="11906" w:h="16838"/>
      <w:pgMar w:top="1440" w:right="1800" w:bottom="1440" w:left="1800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4"/>
                          </w:pPr>
                          <w:r>
                            <w:t xml:space="preserve">第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t xml:space="preserve"> 页 共 </w:t>
                          </w:r>
                          <w:r>
                            <w:fldChar w:fldCharType="begin"/>
                          </w:r>
                          <w:r>
                            <w:instrText xml:space="preserve"> NUMPAGES  \* MERGEFORMAT </w:instrText>
                          </w:r>
                          <w:r>
                            <w:fldChar w:fldCharType="separate"/>
                          </w:r>
                          <w:r>
                            <w:t>3</w:t>
                          </w:r>
                          <w:r>
                            <w:fldChar w:fldCharType="end"/>
                          </w:r>
                          <w:r>
                            <w:t xml:space="preserve"> 页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Akgka0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4"/>
                    </w:pPr>
                    <w:r>
                      <w:t xml:space="preserve">第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t xml:space="preserve"> 页 共 </w:t>
                    </w:r>
                    <w:r>
                      <w:fldChar w:fldCharType="begin"/>
                    </w:r>
                    <w:r>
                      <w:instrText xml:space="preserve"> NUMPAGES  \* MERGEFORMAT </w:instrText>
                    </w:r>
                    <w:r>
                      <w:fldChar w:fldCharType="separate"/>
                    </w:r>
                    <w:r>
                      <w:t>3</w:t>
                    </w:r>
                    <w:r>
                      <w:fldChar w:fldCharType="end"/>
                    </w:r>
                    <w:r>
                      <w:t xml:space="preserve"> 页</w:t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5781161"/>
    <w:multiLevelType w:val="singleLevel"/>
    <w:tmpl w:val="55781161"/>
    <w:lvl w:ilvl="0" w:tentative="0">
      <w:start w:val="6"/>
      <w:numFmt w:val="chineseCounting"/>
      <w:suff w:val="space"/>
      <w:lvlText w:val="第%1章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AyYzUzZDE0ZDUwNGJlOWU3MDAxYWU1YjMzZGM5NDgifQ=="/>
  </w:docVars>
  <w:rsids>
    <w:rsidRoot w:val="00000000"/>
    <w:rsid w:val="00681EB6"/>
    <w:rsid w:val="039E33F1"/>
    <w:rsid w:val="05E530D0"/>
    <w:rsid w:val="06902FE9"/>
    <w:rsid w:val="15514BF6"/>
    <w:rsid w:val="187F6ED7"/>
    <w:rsid w:val="1C7C5BFE"/>
    <w:rsid w:val="20BE410F"/>
    <w:rsid w:val="238910E7"/>
    <w:rsid w:val="27EB411E"/>
    <w:rsid w:val="2C004037"/>
    <w:rsid w:val="2F2A5E74"/>
    <w:rsid w:val="30760C45"/>
    <w:rsid w:val="369B1405"/>
    <w:rsid w:val="3818786F"/>
    <w:rsid w:val="3BF01C8A"/>
    <w:rsid w:val="409D1DE9"/>
    <w:rsid w:val="42AF6E33"/>
    <w:rsid w:val="4F6939F7"/>
    <w:rsid w:val="528154FB"/>
    <w:rsid w:val="55085CE1"/>
    <w:rsid w:val="5AE64A95"/>
    <w:rsid w:val="5C2D3FFE"/>
    <w:rsid w:val="632C7CB4"/>
    <w:rsid w:val="6580178C"/>
    <w:rsid w:val="660E4EA0"/>
    <w:rsid w:val="661E55F8"/>
    <w:rsid w:val="66384DD9"/>
    <w:rsid w:val="69926827"/>
    <w:rsid w:val="6E0F54D9"/>
    <w:rsid w:val="72DD2801"/>
    <w:rsid w:val="73233368"/>
    <w:rsid w:val="73D944D7"/>
    <w:rsid w:val="742F0257"/>
    <w:rsid w:val="7BC922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2"/>
    <w:basedOn w:val="1"/>
    <w:next w:val="3"/>
    <w:qFormat/>
    <w:uiPriority w:val="0"/>
    <w:pPr>
      <w:keepNext/>
      <w:keepLines/>
      <w:tabs>
        <w:tab w:val="left" w:pos="840"/>
      </w:tabs>
      <w:spacing w:before="260" w:after="260" w:line="416" w:lineRule="auto"/>
      <w:jc w:val="center"/>
      <w:outlineLvl w:val="1"/>
    </w:pPr>
    <w:rPr>
      <w:rFonts w:ascii="Arial" w:hAnsi="Arial" w:eastAsia="黑体"/>
      <w:b/>
      <w:sz w:val="32"/>
      <w:szCs w:val="20"/>
    </w:rPr>
  </w:style>
  <w:style w:type="character" w:default="1" w:styleId="7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Indent"/>
    <w:basedOn w:val="1"/>
    <w:autoRedefine/>
    <w:qFormat/>
    <w:uiPriority w:val="0"/>
    <w:pPr>
      <w:ind w:firstLine="420" w:firstLineChars="200"/>
    </w:pPr>
  </w:style>
  <w:style w:type="paragraph" w:styleId="4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numbering" Target="numbering.xml"/><Relationship Id="rId13" Type="http://schemas.openxmlformats.org/officeDocument/2006/relationships/customXml" Target="../customXml/item1.xml"/><Relationship Id="rId12" Type="http://schemas.openxmlformats.org/officeDocument/2006/relationships/image" Target="media/image7.emf"/><Relationship Id="rId11" Type="http://schemas.openxmlformats.org/officeDocument/2006/relationships/oleObject" Target="embeddings/oleObject1.bin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451</Words>
  <Characters>459</Characters>
  <Lines>0</Lines>
  <Paragraphs>0</Paragraphs>
  <TotalTime>80</TotalTime>
  <ScaleCrop>false</ScaleCrop>
  <LinksUpToDate>false</LinksUpToDate>
  <CharactersWithSpaces>460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2023-09-12T00:18:00Z</dcterms:created>
  <dc:creator>HZ</dc:creator>
  <cp:lastModifiedBy>滚筒洗衣机</cp:lastModifiedBy>
  <dcterms:modified xsi:type="dcterms:W3CDTF">2026-04-29T09:10:50Z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07ADC158297F4AB89B839DC8BD4E2C0E_13</vt:lpwstr>
  </property>
  <property fmtid="{D5CDD505-2E9C-101B-9397-08002B2CF9AE}" pid="4" name="KSOTemplateDocerSaveRecord">
    <vt:lpwstr>eyJoZGlkIjoiNGUyNzYxMWY2NTM0Nzk2ZjhmMjVhMDU2YmZiZTNlOTEiLCJ1c2VySWQiOiIxMDM0MTYxNjE5In0=</vt:lpwstr>
  </property>
</Properties>
</file>