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第六章 </w:t>
      </w:r>
      <w:r>
        <w:rPr>
          <w:rFonts w:hint="eastAsia"/>
          <w:b/>
          <w:bCs/>
          <w:sz w:val="28"/>
          <w:szCs w:val="28"/>
        </w:rPr>
        <w:t>非零星采购业务报销汇总单（汇总审核申请表）业务流程</w:t>
      </w:r>
    </w:p>
    <w:p>
      <w:pPr>
        <w:pStyle w:val="2"/>
        <w:numPr>
          <w:ilvl w:val="0"/>
          <w:numId w:val="0"/>
        </w:numPr>
        <w:spacing w:before="100" w:after="100" w:line="360" w:lineRule="auto"/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bookmarkStart w:id="0" w:name="_Toc22461"/>
      <w:bookmarkStart w:id="1" w:name="_Toc11774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一、资产登记：</w:t>
      </w:r>
      <w:bookmarkEnd w:id="0"/>
      <w:bookmarkEnd w:id="1"/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（一）</w:t>
      </w:r>
      <w:r>
        <w:rPr>
          <w:rFonts w:hint="eastAsia"/>
          <w:lang w:eastAsia="zh-CN"/>
        </w:rPr>
        <w:t>固定资产：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按合同</w:t>
      </w:r>
      <w:r>
        <w:rPr>
          <w:rFonts w:hint="eastAsia"/>
          <w:color w:val="auto"/>
          <w:lang w:val="en-US" w:eastAsia="zh-CN"/>
        </w:rPr>
        <w:t>资产</w:t>
      </w:r>
      <w:r>
        <w:rPr>
          <w:rFonts w:hint="eastAsia"/>
          <w:lang w:eastAsia="zh-CN"/>
        </w:rPr>
        <w:t>清单逐笔登记资产，登记时务必如实填写合同（采购）编号。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2.合并单据：区分资产类别（如设备、家</w:t>
      </w:r>
      <w:bookmarkStart w:id="4" w:name="_GoBack"/>
      <w:bookmarkEnd w:id="4"/>
      <w:r>
        <w:rPr>
          <w:rFonts w:hint="eastAsia"/>
          <w:lang w:val="en-US" w:eastAsia="zh-CN"/>
        </w:rPr>
        <w:t>具、无形资产等）按</w:t>
      </w:r>
      <w:r>
        <w:rPr>
          <w:rFonts w:hint="eastAsia"/>
          <w:lang w:eastAsia="zh-CN"/>
        </w:rPr>
        <w:t>合同（采购）编号合并资产登记单据。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3.提交资产登记单据。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（二）低值品：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按合同清单逐笔登记资产，登记时务必如实填写合同（采购）编号。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2.合并单据：按</w:t>
      </w:r>
      <w:r>
        <w:rPr>
          <w:rFonts w:hint="eastAsia"/>
          <w:lang w:eastAsia="zh-CN"/>
        </w:rPr>
        <w:t>合同（采购）编号合并资产登记单据。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3.提交资产登记单据。</w:t>
      </w:r>
    </w:p>
    <w:p>
      <w:pPr>
        <w:pStyle w:val="2"/>
        <w:numPr>
          <w:ilvl w:val="0"/>
          <w:numId w:val="0"/>
        </w:numPr>
        <w:spacing w:before="100" w:after="100" w:line="360" w:lineRule="auto"/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bookmarkStart w:id="2" w:name="_Toc18971"/>
      <w:bookmarkStart w:id="3" w:name="_Toc9143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二、打印输出非零星采购业务报销汇总单（汇总审核申请表）</w:t>
      </w:r>
      <w:bookmarkEnd w:id="2"/>
      <w:bookmarkEnd w:id="3"/>
    </w:p>
    <w:p>
      <w:pPr>
        <w:numPr>
          <w:ilvl w:val="0"/>
          <w:numId w:val="0"/>
        </w:num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按照以下步骤打印输出非零星采购报销汇总单：</w:t>
      </w:r>
    </w:p>
    <w:p>
      <w:pPr>
        <w:numPr>
          <w:ilvl w:val="0"/>
          <w:numId w:val="1"/>
        </w:numPr>
        <w:spacing w:line="36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操作：</w:t>
      </w:r>
      <w:r>
        <w:rPr>
          <w:rFonts w:hint="eastAsia"/>
          <w:lang w:val="en-US" w:eastAsia="zh-CN"/>
        </w:rPr>
        <w:t>点击资产图表打印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点击</w:t>
      </w:r>
      <w:r>
        <w:rPr>
          <w:rFonts w:hint="eastAsia"/>
          <w:lang w:eastAsia="zh-CN"/>
        </w:rPr>
        <w:t>非零星采购报销汇总单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进入查询页面，按照</w:t>
      </w:r>
      <w:r>
        <w:rPr>
          <w:rFonts w:hint="eastAsia"/>
          <w:lang w:eastAsia="zh-CN"/>
        </w:rPr>
        <w:t>合同（采购）编号查询汇总单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确认后，点击打印预览（</w:t>
      </w:r>
      <w:r>
        <w:rPr>
          <w:rFonts w:hint="eastAsia" w:ascii="Arial" w:hAnsi="Arial" w:cs="Arial"/>
          <w:highlight w:val="yellow"/>
          <w:lang w:val="en-US" w:eastAsia="zh-CN"/>
        </w:rPr>
        <w:t>图1</w:t>
      </w:r>
      <w:r>
        <w:rPr>
          <w:rFonts w:hint="eastAsia" w:ascii="Arial" w:hAnsi="Arial" w:cs="Arial"/>
          <w:lang w:val="en-US" w:eastAsia="zh-CN"/>
        </w:rPr>
        <w:t>）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按照系统要求填写有关汇总单信息：合同总金额、合同项目名称等（</w:t>
      </w:r>
      <w:r>
        <w:rPr>
          <w:rFonts w:hint="eastAsia" w:ascii="Arial" w:hAnsi="Arial" w:cs="Arial"/>
          <w:highlight w:val="yellow"/>
          <w:lang w:val="en-US" w:eastAsia="zh-CN"/>
        </w:rPr>
        <w:t>图2</w:t>
      </w:r>
      <w:r>
        <w:rPr>
          <w:rFonts w:hint="eastAsia" w:ascii="Arial" w:hAnsi="Arial" w:cs="Arial"/>
          <w:lang w:val="en-US" w:eastAsia="zh-CN"/>
        </w:rPr>
        <w:t>）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打印输出报销汇总单（</w:t>
      </w:r>
      <w:r>
        <w:rPr>
          <w:rFonts w:hint="eastAsia" w:ascii="Arial" w:hAnsi="Arial" w:cs="Arial"/>
          <w:highlight w:val="yellow"/>
          <w:lang w:val="en-US" w:eastAsia="zh-CN"/>
        </w:rPr>
        <w:t>图3</w:t>
      </w:r>
      <w:r>
        <w:rPr>
          <w:rFonts w:hint="eastAsia" w:ascii="Arial" w:hAnsi="Arial" w:cs="Arial"/>
          <w:lang w:val="en-US" w:eastAsia="zh-CN"/>
        </w:rPr>
        <w:t>）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按照输出的报销汇总单要求办理有关手</w:t>
      </w:r>
      <w:r>
        <w:rPr>
          <w:rFonts w:hint="eastAsia"/>
          <w:lang w:val="en-US" w:eastAsia="zh-CN"/>
        </w:rPr>
        <w:t>续：加盖单位公章、有关提交资产审核人信息等。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（图1）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117590" cy="2848610"/>
            <wp:effectExtent l="0" t="0" r="3810" b="889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jc w:val="center"/>
      </w:pPr>
      <w:r>
        <w:rPr>
          <w:rFonts w:hint="eastAsia"/>
          <w:highlight w:val="yellow"/>
          <w:lang w:val="en-US" w:eastAsia="zh-CN"/>
        </w:rPr>
        <w:t>（图2）</w:t>
      </w:r>
    </w:p>
    <w:p>
      <w:pPr>
        <w:numPr>
          <w:ilvl w:val="0"/>
          <w:numId w:val="0"/>
        </w:numPr>
        <w:spacing w:line="360" w:lineRule="auto"/>
        <w:jc w:val="center"/>
      </w:pPr>
      <w:r>
        <w:drawing>
          <wp:inline distT="0" distB="0" distL="114300" distR="114300">
            <wp:extent cx="3867150" cy="2933700"/>
            <wp:effectExtent l="0" t="0" r="635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（图3）</w:t>
      </w:r>
    </w:p>
    <w:p>
      <w:r>
        <w:drawing>
          <wp:inline distT="0" distB="0" distL="114300" distR="114300">
            <wp:extent cx="5143500" cy="4940300"/>
            <wp:effectExtent l="9525" t="9525" r="15875" b="1587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9403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2.打印输出资产登记入账单。</w:t>
      </w:r>
    </w:p>
    <w:p>
      <w:pPr>
        <w:numPr>
          <w:ilvl w:val="0"/>
          <w:numId w:val="0"/>
        </w:numPr>
        <w:spacing w:line="360" w:lineRule="auto"/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3.按汇总单要求整理好入账单，与汇总单一起线下提交资产审核。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0A003"/>
    <w:multiLevelType w:val="singleLevel"/>
    <w:tmpl w:val="21D0A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MjdlYjc3Y2MwOTEzMWQ3Njk2MWNhMGUzOTAyNWYifQ=="/>
  </w:docVars>
  <w:rsids>
    <w:rsidRoot w:val="00000000"/>
    <w:rsid w:val="06902FE9"/>
    <w:rsid w:val="1C7C5BFE"/>
    <w:rsid w:val="2F2A5E74"/>
    <w:rsid w:val="30760C45"/>
    <w:rsid w:val="369B1405"/>
    <w:rsid w:val="3BF01C8A"/>
    <w:rsid w:val="42AF6E33"/>
    <w:rsid w:val="660E4EA0"/>
    <w:rsid w:val="66384DD9"/>
    <w:rsid w:val="69926827"/>
    <w:rsid w:val="6E0F54D9"/>
    <w:rsid w:val="72DD2801"/>
    <w:rsid w:val="73233368"/>
    <w:rsid w:val="73D9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2023-09-12T00:18:00Z</dcterms:created>
  <dc:creator>HZ</dc:creator>
  <cp:lastModifiedBy>dell</cp:lastModifiedBy>
  <dcterms:modified xsi:type="dcterms:W3CDTF">2023-10-15T08:24:54Z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4AEC32A8DCDE4ABEBD632955C544399F_12</vt:lpwstr>
  </property>
</Properties>
</file>